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/>
        <w:spacing w:before="164" w:line="224" w:lineRule="auto"/>
        <w:ind w:left="204"/>
        <w:rPr>
          <w:rFonts w:ascii="Times New Roman" w:hAnsi="Times New Roman" w:eastAsia="仿宋" w:cs="Times New Roman"/>
          <w:color w:val="auto"/>
          <w:spacing w:val="-17"/>
          <w:sz w:val="31"/>
          <w:szCs w:val="31"/>
        </w:rPr>
      </w:pPr>
      <w:r>
        <w:rPr>
          <w:rFonts w:ascii="Times New Roman" w:hAnsi="Times New Roman" w:eastAsia="仿宋" w:cs="Times New Roman"/>
          <w:color w:val="auto"/>
          <w:spacing w:val="-19"/>
          <w:sz w:val="31"/>
          <w:szCs w:val="31"/>
        </w:rPr>
        <w:t>附</w:t>
      </w:r>
      <w:r>
        <w:rPr>
          <w:rFonts w:ascii="Times New Roman" w:hAnsi="Times New Roman" w:eastAsia="仿宋" w:cs="Times New Roman"/>
          <w:color w:val="auto"/>
          <w:spacing w:val="-17"/>
          <w:sz w:val="31"/>
          <w:szCs w:val="31"/>
        </w:rPr>
        <w:t>件</w:t>
      </w:r>
      <w:r>
        <w:rPr>
          <w:rFonts w:hint="eastAsia" w:ascii="Times New Roman" w:hAnsi="Times New Roman" w:eastAsia="仿宋" w:cs="Times New Roman"/>
          <w:color w:val="auto"/>
          <w:spacing w:val="-17"/>
          <w:sz w:val="31"/>
          <w:szCs w:val="31"/>
          <w:lang w:val="en-US" w:eastAsia="zh-CN"/>
        </w:rPr>
        <w:t>5</w:t>
      </w:r>
      <w:r>
        <w:rPr>
          <w:rFonts w:ascii="Times New Roman" w:hAnsi="Times New Roman" w:eastAsia="仿宋" w:cs="Times New Roman"/>
          <w:color w:val="auto"/>
          <w:spacing w:val="-17"/>
          <w:sz w:val="31"/>
          <w:szCs w:val="31"/>
        </w:rPr>
        <w:t>：</w:t>
      </w:r>
    </w:p>
    <w:p>
      <w:pPr>
        <w:spacing w:line="440" w:lineRule="exact"/>
        <w:ind w:firstLine="630" w:firstLineChars="196"/>
        <w:jc w:val="center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常规项目组织单位作品推荐参考指标</w:t>
      </w:r>
    </w:p>
    <w:p>
      <w:pPr>
        <w:spacing w:line="440" w:lineRule="exact"/>
        <w:ind w:firstLine="560" w:firstLineChars="200"/>
        <w:rPr>
          <w:rFonts w:ascii="Times New Roman" w:hAnsi="Times New Roman" w:eastAsia="仿宋_GB2312" w:cs="Times New Roman"/>
          <w:sz w:val="28"/>
        </w:rPr>
      </w:pPr>
      <w:r>
        <w:rPr>
          <w:rFonts w:ascii="Times New Roman" w:hAnsi="Times New Roman" w:eastAsia="仿宋_GB2312" w:cs="Times New Roman"/>
          <w:sz w:val="28"/>
        </w:rPr>
        <w:t>1．课件</w:t>
      </w:r>
    </w:p>
    <w:tbl>
      <w:tblPr>
        <w:tblStyle w:val="4"/>
        <w:tblW w:w="7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6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推荐指标</w:t>
            </w:r>
          </w:p>
        </w:tc>
        <w:tc>
          <w:tcPr>
            <w:tcW w:w="610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教学设计</w:t>
            </w:r>
          </w:p>
        </w:tc>
        <w:tc>
          <w:tcPr>
            <w:tcW w:w="6100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教学目标、对象明确，教学策略得当；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界面设计合理，风格统一，有必要的交互；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有清晰的文字介绍和帮助文档。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内容呈现</w:t>
            </w:r>
          </w:p>
        </w:tc>
        <w:tc>
          <w:tcPr>
            <w:tcW w:w="6100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内容丰富、科学，表述准确，术语规范；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选材适当，表现方式合理；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语言简洁、生动，文字规范；</w:t>
            </w:r>
          </w:p>
          <w:p>
            <w:pPr>
              <w:spacing w:line="400" w:lineRule="exact"/>
              <w:ind w:left="-2" w:leftChars="-1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素材选用恰当，生动直观、结构合理。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技术运用</w:t>
            </w:r>
          </w:p>
        </w:tc>
        <w:tc>
          <w:tcPr>
            <w:tcW w:w="6100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运行流畅，操作简便、快捷，媒体播放可控；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互动性强，导航准确，路径合理；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新技术运用有效。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创新与实用</w:t>
            </w:r>
          </w:p>
        </w:tc>
        <w:tc>
          <w:tcPr>
            <w:tcW w:w="6100" w:type="dxa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立意新颖，具有想象力和个性表现力；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能够运用于实际教学中，有推广价值；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高等教育组作品的使用量应达到一定规模。</w:t>
            </w:r>
          </w:p>
        </w:tc>
      </w:tr>
    </w:tbl>
    <w:p>
      <w:pPr>
        <w:spacing w:line="440" w:lineRule="exact"/>
        <w:ind w:firstLine="560" w:firstLineChars="200"/>
        <w:rPr>
          <w:rFonts w:ascii="Times New Roman" w:hAnsi="Times New Roman" w:eastAsia="仿宋_GB2312" w:cs="Times New Roman"/>
          <w:sz w:val="28"/>
        </w:rPr>
      </w:pPr>
      <w:r>
        <w:rPr>
          <w:rFonts w:ascii="Times New Roman" w:hAnsi="Times New Roman" w:eastAsia="仿宋_GB2312" w:cs="Times New Roman"/>
          <w:sz w:val="28"/>
        </w:rPr>
        <w:t>2．微课</w:t>
      </w:r>
    </w:p>
    <w:tbl>
      <w:tblPr>
        <w:tblStyle w:val="4"/>
        <w:tblW w:w="7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6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推荐指标</w:t>
            </w:r>
          </w:p>
        </w:tc>
        <w:tc>
          <w:tcPr>
            <w:tcW w:w="6175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教学设计</w:t>
            </w:r>
          </w:p>
        </w:tc>
        <w:tc>
          <w:tcPr>
            <w:tcW w:w="6175" w:type="dxa"/>
            <w:vAlign w:val="center"/>
          </w:tcPr>
          <w:p>
            <w:pPr>
              <w:spacing w:line="400" w:lineRule="exact"/>
              <w:ind w:left="-76" w:leftChars="-36" w:firstLine="64" w:firstLineChars="23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体现新课标的理念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，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主题明确、重难点突出；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教学策略和教学方法选用恰当；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合理运用信息技术手段。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atLeast"/>
          <w:jc w:val="center"/>
        </w:trPr>
        <w:tc>
          <w:tcPr>
            <w:tcW w:w="1672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教学行为</w:t>
            </w:r>
          </w:p>
        </w:tc>
        <w:tc>
          <w:tcPr>
            <w:tcW w:w="6175" w:type="dxa"/>
            <w:vAlign w:val="center"/>
          </w:tcPr>
          <w:p>
            <w:pPr>
              <w:spacing w:line="400" w:lineRule="exact"/>
              <w:ind w:left="-76" w:leftChars="-36" w:firstLine="64" w:firstLineChars="23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教学思路清晰，重点突出，逻辑性强；</w:t>
            </w:r>
          </w:p>
          <w:p>
            <w:pPr>
              <w:spacing w:line="400" w:lineRule="exact"/>
              <w:ind w:left="1" w:leftChars="-5" w:hanging="11" w:hangingChars="4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教学过程深入浅出、形象生动、通俗易懂，充分调动学生的学习积极性。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教学效果</w:t>
            </w:r>
          </w:p>
        </w:tc>
        <w:tc>
          <w:tcPr>
            <w:tcW w:w="6175" w:type="dxa"/>
            <w:vAlign w:val="center"/>
          </w:tcPr>
          <w:p>
            <w:pPr>
              <w:spacing w:line="400" w:lineRule="exact"/>
              <w:ind w:left="-76" w:leftChars="-36" w:firstLine="64" w:firstLineChars="23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教学和信息素养目标达成度高；</w:t>
            </w:r>
          </w:p>
          <w:p>
            <w:pPr>
              <w:spacing w:line="400" w:lineRule="exact"/>
              <w:ind w:left="-76" w:leftChars="-36" w:firstLine="64" w:firstLineChars="23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注重培养学生自主学习能力。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创新与实用</w:t>
            </w:r>
          </w:p>
        </w:tc>
        <w:tc>
          <w:tcPr>
            <w:tcW w:w="6175" w:type="dxa"/>
            <w:vAlign w:val="center"/>
          </w:tcPr>
          <w:p>
            <w:pPr>
              <w:spacing w:line="400" w:lineRule="exact"/>
              <w:ind w:left="-76" w:leftChars="-36" w:firstLine="64" w:firstLineChars="23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形式新颖，趣味性和启发性强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；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</w:t>
            </w:r>
          </w:p>
          <w:p>
            <w:pPr>
              <w:spacing w:line="400" w:lineRule="exact"/>
              <w:ind w:left="-76" w:leftChars="-36" w:firstLine="64" w:firstLineChars="23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视频声画质量好；</w:t>
            </w:r>
          </w:p>
          <w:p>
            <w:pPr>
              <w:spacing w:line="400" w:lineRule="exact"/>
              <w:ind w:left="-76" w:leftChars="-36" w:firstLine="64" w:firstLineChars="23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实际教学应用效果明显，有推广价值。</w:t>
            </w:r>
          </w:p>
        </w:tc>
      </w:tr>
    </w:tbl>
    <w:p>
      <w:pPr>
        <w:spacing w:line="440" w:lineRule="exact"/>
        <w:ind w:firstLine="540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440" w:lineRule="exact"/>
        <w:ind w:firstLine="540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440" w:lineRule="exact"/>
        <w:ind w:firstLine="540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440" w:lineRule="exact"/>
        <w:ind w:firstLine="54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28"/>
        </w:rPr>
        <w:t>．</w:t>
      </w:r>
      <w:r>
        <w:rPr>
          <w:rFonts w:ascii="Times New Roman" w:hAnsi="Times New Roman" w:eastAsia="仿宋_GB2312" w:cs="Times New Roman"/>
          <w:sz w:val="28"/>
          <w:szCs w:val="28"/>
        </w:rPr>
        <w:t>信息化教学课程案例</w:t>
      </w:r>
    </w:p>
    <w:tbl>
      <w:tblPr>
        <w:tblStyle w:val="4"/>
        <w:tblW w:w="84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7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9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推荐指标</w:t>
            </w:r>
          </w:p>
        </w:tc>
        <w:tc>
          <w:tcPr>
            <w:tcW w:w="709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0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课程建设</w:t>
            </w:r>
          </w:p>
        </w:tc>
        <w:tc>
          <w:tcPr>
            <w:tcW w:w="7091" w:type="dxa"/>
          </w:tcPr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信息化软硬件符合教育教学需求，有特色；</w:t>
            </w:r>
          </w:p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课程建设、教学理念、内容、方法体现现代信息技术的运用；</w:t>
            </w:r>
          </w:p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课程资源丰富，信息技术运用恰当。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教学实施</w:t>
            </w:r>
          </w:p>
        </w:tc>
        <w:tc>
          <w:tcPr>
            <w:tcW w:w="7091" w:type="dxa"/>
          </w:tcPr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教学活动过程记录完整，材料齐全；</w:t>
            </w:r>
          </w:p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信息技术与课程教学深度融合，转变学生学习方式；</w:t>
            </w:r>
          </w:p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形成基于信息化的教育教学模式。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93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教学效果</w:t>
            </w:r>
          </w:p>
        </w:tc>
        <w:tc>
          <w:tcPr>
            <w:tcW w:w="7091" w:type="dxa"/>
          </w:tcPr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教学目标达成度高，学生深度参与，活跃度高；</w:t>
            </w:r>
          </w:p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学生自主学习、合作学习、研究性学习等学习能力提升明显；</w:t>
            </w:r>
          </w:p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学生、教师、学校评价好。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93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特色创新</w:t>
            </w:r>
          </w:p>
        </w:tc>
        <w:tc>
          <w:tcPr>
            <w:tcW w:w="7091" w:type="dxa"/>
            <w:vAlign w:val="center"/>
          </w:tcPr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在课程建设、教学实施、资源共享、机制创新等方面有特色；</w:t>
            </w:r>
          </w:p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具有一定的示范推广价值。</w:t>
            </w:r>
          </w:p>
        </w:tc>
      </w:tr>
    </w:tbl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135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GVjNzQ2MzllMzAzNTE0OGQwYTAzNjA1MDhjNzY5MDUifQ=="/>
    <w:docVar w:name="KSO_WPS_MARK_KEY" w:val="dedbd2e4-28b1-4038-a440-1892eb811d6a"/>
  </w:docVars>
  <w:rsids>
    <w:rsidRoot w:val="00A12C67"/>
    <w:rsid w:val="000D6AB1"/>
    <w:rsid w:val="001240A4"/>
    <w:rsid w:val="00203ABC"/>
    <w:rsid w:val="002D702B"/>
    <w:rsid w:val="00326455"/>
    <w:rsid w:val="003C66A8"/>
    <w:rsid w:val="0040303E"/>
    <w:rsid w:val="004A4F19"/>
    <w:rsid w:val="0060571B"/>
    <w:rsid w:val="00605C90"/>
    <w:rsid w:val="0063169E"/>
    <w:rsid w:val="00640EE6"/>
    <w:rsid w:val="0065768F"/>
    <w:rsid w:val="00680FEB"/>
    <w:rsid w:val="00691B63"/>
    <w:rsid w:val="006B396F"/>
    <w:rsid w:val="006E4CA9"/>
    <w:rsid w:val="006F2E31"/>
    <w:rsid w:val="00702924"/>
    <w:rsid w:val="00755202"/>
    <w:rsid w:val="0079475C"/>
    <w:rsid w:val="00805E49"/>
    <w:rsid w:val="00827EEB"/>
    <w:rsid w:val="00855351"/>
    <w:rsid w:val="008557D6"/>
    <w:rsid w:val="00897A5F"/>
    <w:rsid w:val="00897D60"/>
    <w:rsid w:val="008D693E"/>
    <w:rsid w:val="00903565"/>
    <w:rsid w:val="009778B1"/>
    <w:rsid w:val="009955F7"/>
    <w:rsid w:val="00A12C67"/>
    <w:rsid w:val="00AA07B8"/>
    <w:rsid w:val="00AB45C0"/>
    <w:rsid w:val="00AC3D6D"/>
    <w:rsid w:val="00B13810"/>
    <w:rsid w:val="00B45BF6"/>
    <w:rsid w:val="00C9369B"/>
    <w:rsid w:val="00D54B09"/>
    <w:rsid w:val="00D5752E"/>
    <w:rsid w:val="00D86B71"/>
    <w:rsid w:val="00DD6C3B"/>
    <w:rsid w:val="00E16B6B"/>
    <w:rsid w:val="00E306FE"/>
    <w:rsid w:val="00E448F7"/>
    <w:rsid w:val="00F746FA"/>
    <w:rsid w:val="00FA7E91"/>
    <w:rsid w:val="00FC3734"/>
    <w:rsid w:val="00FD7B5A"/>
    <w:rsid w:val="03084573"/>
    <w:rsid w:val="0D21558D"/>
    <w:rsid w:val="0E8C4B4B"/>
    <w:rsid w:val="141A22E7"/>
    <w:rsid w:val="1DFD1368"/>
    <w:rsid w:val="20023C1B"/>
    <w:rsid w:val="25142C8A"/>
    <w:rsid w:val="25207225"/>
    <w:rsid w:val="262D348E"/>
    <w:rsid w:val="28A10984"/>
    <w:rsid w:val="294F79A5"/>
    <w:rsid w:val="302B519B"/>
    <w:rsid w:val="31CA504F"/>
    <w:rsid w:val="320D4041"/>
    <w:rsid w:val="327C6381"/>
    <w:rsid w:val="34C23249"/>
    <w:rsid w:val="41F87FB5"/>
    <w:rsid w:val="45334918"/>
    <w:rsid w:val="464846D9"/>
    <w:rsid w:val="51AC289C"/>
    <w:rsid w:val="559C266B"/>
    <w:rsid w:val="55FC514A"/>
    <w:rsid w:val="565560E3"/>
    <w:rsid w:val="59227A3E"/>
    <w:rsid w:val="5CA85EC1"/>
    <w:rsid w:val="60F577E0"/>
    <w:rsid w:val="62A31D35"/>
    <w:rsid w:val="6399605E"/>
    <w:rsid w:val="644F0FB6"/>
    <w:rsid w:val="68F56E62"/>
    <w:rsid w:val="6D7E24E6"/>
    <w:rsid w:val="6E302266"/>
    <w:rsid w:val="70CD3333"/>
    <w:rsid w:val="753331A0"/>
    <w:rsid w:val="7C4B42C9"/>
    <w:rsid w:val="7DC9468F"/>
    <w:rsid w:val="7DF9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font21"/>
    <w:basedOn w:val="6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11">
    <w:name w:val="font51"/>
    <w:basedOn w:val="6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table" w:customStyle="1" w:styleId="12">
    <w:name w:val="网格型1"/>
    <w:basedOn w:val="4"/>
    <w:qFormat/>
    <w:uiPriority w:val="39"/>
    <w:rPr>
      <w:rFonts w:asciiTheme="minorHAnsi" w:hAnsiTheme="minorHAnsi" w:eastAsiaTheme="minorEastAsia" w:cstheme="minorBidi"/>
      <w:kern w:val="2"/>
      <w:sz w:val="21"/>
      <w:szCs w:val="22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412</Words>
  <Characters>455</Characters>
  <Lines>23</Lines>
  <Paragraphs>6</Paragraphs>
  <TotalTime>14</TotalTime>
  <ScaleCrop>false</ScaleCrop>
  <LinksUpToDate>false</LinksUpToDate>
  <CharactersWithSpaces>512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2023-05-19T11:13:00Z</dcterms:created>
  <dc:creator>sf</dc:creator>
  <cp:lastModifiedBy>Christine-Huang</cp:lastModifiedBy>
  <cp:lastPrinted>2023-05-19T11:11:00Z</cp:lastPrinted>
  <dcterms:modified xsi:type="dcterms:W3CDTF">2023-05-31T03:44:56Z</dcterms:modified>
  <dc:title>全国多媒体教育软件大奖赛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2023-03-28T15:33:59Z</vt:filetime>
  </property>
  <property fmtid="{D5CDD505-2E9C-101B-9397-08002B2CF9AE}" pid="4" name="KSOProductBuildVer">
    <vt:lpwstr>2052-11.1.0.12358</vt:lpwstr>
  </property>
  <property fmtid="{D5CDD505-2E9C-101B-9397-08002B2CF9AE}" pid="5" name="ICV">
    <vt:lpwstr>4AE744FCD4C0410E822C9D781F1D86B6</vt:lpwstr>
  </property>
</Properties>
</file>